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7042"/>
        <w:gridCol w:w="1135"/>
        <w:gridCol w:w="849"/>
      </w:tblGrid>
      <w:tr w:rsidR="00985050">
        <w:trPr>
          <w:trHeight w:val="20"/>
          <w:tblHeader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A241E4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3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A241E4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Наименование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A241E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Кол-во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A241E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Ед. изм.</w:t>
            </w:r>
          </w:p>
        </w:tc>
      </w:tr>
      <w:tr w:rsidR="00985050">
        <w:trPr>
          <w:trHeight w:val="27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050" w:rsidRDefault="00985050">
            <w:pPr>
              <w:pStyle w:val="af5"/>
              <w:numPr>
                <w:ilvl w:val="0"/>
                <w:numId w:val="2"/>
              </w:numPr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050" w:rsidRDefault="00A241E4">
            <w:pPr>
              <w:shd w:val="clear" w:color="auto" w:fill="FFFFFF"/>
              <w:tabs>
                <w:tab w:val="left" w:pos="2280"/>
              </w:tabs>
              <w:jc w:val="both"/>
              <w:rPr>
                <w:bCs/>
                <w:sz w:val="22"/>
              </w:rPr>
            </w:pPr>
            <w:r>
              <w:t>Коммутатор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A241E4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A241E4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Штука</w:t>
            </w:r>
          </w:p>
        </w:tc>
      </w:tr>
    </w:tbl>
    <w:p w:rsidR="00985050" w:rsidRDefault="00A241E4" w:rsidP="003A4F6C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ТЕХНИЧЕСКАЯ ЧАСТЬ</w:t>
      </w:r>
    </w:p>
    <w:p w:rsidR="003A4F6C" w:rsidRDefault="00A241E4" w:rsidP="003A4F6C">
      <w:pPr>
        <w:jc w:val="center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СВЕДЕНИЯ ОБ ОБЪЕКТЕ ЗАКУПКИ</w:t>
      </w:r>
    </w:p>
    <w:p w:rsidR="00985050" w:rsidRDefault="00A241E4" w:rsidP="003A4F6C">
      <w:pPr>
        <w:jc w:val="center"/>
        <w:rPr>
          <w:b/>
        </w:rPr>
      </w:pPr>
      <w:r>
        <w:rPr>
          <w:b/>
        </w:rPr>
        <w:t>Функциональные, технические и качественные характеристи</w:t>
      </w:r>
      <w:r>
        <w:rPr>
          <w:b/>
        </w:rPr>
        <w:t>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</w:p>
    <w:tbl>
      <w:tblPr>
        <w:tblW w:w="515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"/>
        <w:gridCol w:w="4676"/>
        <w:gridCol w:w="1134"/>
        <w:gridCol w:w="3403"/>
        <w:gridCol w:w="135"/>
      </w:tblGrid>
      <w:tr w:rsidR="00985050" w:rsidTr="003A4F6C">
        <w:trPr>
          <w:gridAfter w:val="1"/>
          <w:wAfter w:w="135" w:type="dxa"/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A241E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692" w:rsidRDefault="0058340C">
            <w:pPr>
              <w:jc w:val="center"/>
              <w:rPr>
                <w:b/>
              </w:rPr>
            </w:pPr>
            <w:r w:rsidRPr="0058340C">
              <w:rPr>
                <w:b/>
              </w:rPr>
              <w:t>Наименование товара, его показателей (характеристик),</w:t>
            </w:r>
          </w:p>
          <w:p w:rsidR="00985050" w:rsidRDefault="0058340C">
            <w:pPr>
              <w:jc w:val="center"/>
              <w:rPr>
                <w:rFonts w:eastAsia="Calibri"/>
                <w:b/>
                <w:bCs/>
              </w:rPr>
            </w:pPr>
            <w:r w:rsidRPr="0058340C">
              <w:rPr>
                <w:b/>
              </w:rPr>
              <w:t xml:space="preserve"> потребительских свойств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A241E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Ед. изм.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40C" w:rsidRPr="0058340C" w:rsidRDefault="0058340C" w:rsidP="0058340C">
            <w:pPr>
              <w:jc w:val="center"/>
              <w:rPr>
                <w:b/>
                <w:sz w:val="22"/>
                <w:szCs w:val="22"/>
              </w:rPr>
            </w:pPr>
            <w:r w:rsidRPr="0058340C">
              <w:rPr>
                <w:b/>
                <w:sz w:val="22"/>
                <w:szCs w:val="22"/>
              </w:rPr>
              <w:t xml:space="preserve">Значение показателя </w:t>
            </w:r>
          </w:p>
          <w:p w:rsidR="00985050" w:rsidRDefault="0058340C" w:rsidP="0058340C">
            <w:pPr>
              <w:jc w:val="center"/>
              <w:rPr>
                <w:rFonts w:eastAsia="Calibri"/>
                <w:b/>
              </w:rPr>
            </w:pPr>
            <w:r w:rsidRPr="0058340C">
              <w:rPr>
                <w:b/>
                <w:sz w:val="22"/>
                <w:szCs w:val="22"/>
              </w:rPr>
              <w:t>(характеристики)</w:t>
            </w:r>
          </w:p>
        </w:tc>
      </w:tr>
      <w:tr w:rsidR="00985050" w:rsidTr="003A4F6C">
        <w:trPr>
          <w:gridAfter w:val="1"/>
          <w:wAfter w:w="135" w:type="dxa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985050">
            <w:pPr>
              <w:pStyle w:val="af5"/>
              <w:numPr>
                <w:ilvl w:val="0"/>
                <w:numId w:val="37"/>
              </w:numPr>
              <w:spacing w:line="239" w:lineRule="exact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both"/>
              <w:rPr>
                <w:b/>
                <w:bCs/>
              </w:rPr>
            </w:pPr>
            <w:r>
              <w:rPr>
                <w:b/>
              </w:rPr>
              <w:t>Коммутатор</w:t>
            </w:r>
          </w:p>
          <w:p w:rsidR="00985050" w:rsidRDefault="00A241E4">
            <w:pPr>
              <w:pStyle w:val="ConsPlusNormal0"/>
              <w:widowControl/>
              <w:spacing w:line="239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[Код позиции КТРУ </w:t>
            </w:r>
            <w:hyperlink r:id="rId8" w:tooltip="https://zakupki.gov.ru/epz/ktru/ktruCard/ktru-description.html?itemId=26.30.11.110-00000041&amp;backUrl=" w:history="1">
              <w:r>
                <w:rPr>
                  <w:rStyle w:val="aff7"/>
                  <w:rFonts w:ascii="Times New Roman" w:hAnsi="Times New Roman" w:cs="Times New Roman"/>
                  <w:color w:val="000000" w:themeColor="text1"/>
                  <w:sz w:val="24"/>
                  <w:u w:val="none"/>
                </w:rPr>
                <w:t>26.30.11.110-00000041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color w:val="000000"/>
                <w:szCs w:val="22"/>
              </w:rPr>
            </w:pP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highlight w:val="red"/>
              </w:rPr>
            </w:pPr>
            <w:r>
              <w:t>Блок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Встроенный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highlight w:val="red"/>
              </w:rPr>
            </w:pPr>
            <w:r>
              <w:t>Количество блоков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1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highlight w:val="red"/>
              </w:rPr>
            </w:pPr>
            <w:r>
              <w:t>Тип блоков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Фиксированные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highlight w:val="red"/>
              </w:rPr>
            </w:pPr>
            <w:r>
              <w:t>Тип коммутатора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Управляемый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highlight w:val="red"/>
              </w:rPr>
            </w:pPr>
            <w:r>
              <w:t>Тип передачи данных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ind w:left="57"/>
              <w:jc w:val="center"/>
            </w:pPr>
            <w:proofErr w:type="spellStart"/>
            <w:r>
              <w:t>Ethernet</w:t>
            </w:r>
            <w:proofErr w:type="spellEnd"/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highlight w:val="red"/>
              </w:rPr>
            </w:pPr>
            <w:r>
              <w:t>Тип электропитания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AC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highlight w:val="red"/>
              </w:rPr>
            </w:pPr>
            <w:r>
              <w:t>Виртуальное тестирование кабеля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highlight w:val="red"/>
              </w:rPr>
            </w:pPr>
            <w:r>
              <w:t>Внешний интерфейс 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RJ-45</w:t>
            </w:r>
          </w:p>
        </w:tc>
      </w:tr>
      <w:tr w:rsidR="00985050" w:rsidTr="003A4F6C">
        <w:trPr>
          <w:gridAfter w:val="1"/>
          <w:wAfter w:w="135" w:type="dxa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Внутренняя пропускная способность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Гигабит в секунду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≥ 100</w:t>
            </w:r>
          </w:p>
        </w:tc>
      </w:tr>
      <w:tr w:rsidR="00985050" w:rsidTr="003A4F6C">
        <w:trPr>
          <w:gridAfter w:val="1"/>
          <w:wAfter w:w="135" w:type="dxa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Возможность загрузки файлов на устройство по нешифрованному протоколу передачи файлов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Возможность загрузки файлов на устройство по шифрованному протоколу передачи файлов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Возможность работы в качестве DHCP </w:t>
            </w:r>
            <w:proofErr w:type="spellStart"/>
            <w:r>
              <w:t>relay</w:t>
            </w:r>
            <w:proofErr w:type="spellEnd"/>
            <w:r>
              <w:t xml:space="preserve"> агента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Возможность работы в качестве DHCP-клиента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Возможность работы в качестве DHCP-сервера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Возможность </w:t>
            </w:r>
            <w:proofErr w:type="spellStart"/>
            <w:r>
              <w:t>стекирования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Возможность управления доступом при подключении к консольному (последовательному/серийному) порту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Высота коммутатора для размещения в шкаф телекоммуникационный, 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1</w:t>
            </w:r>
          </w:p>
        </w:tc>
      </w:tr>
      <w:tr w:rsidR="00985050" w:rsidTr="003A4F6C">
        <w:trPr>
          <w:gridAfter w:val="1"/>
          <w:wAfter w:w="135" w:type="dxa"/>
          <w:trHeight w:val="23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spacing w:line="239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Диагностика оптического трансивера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highlight w:val="red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  <w:rPr>
                <w:highlight w:val="red"/>
              </w:rPr>
            </w:pPr>
            <w:r>
              <w:t>Да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Интерфейс LAN-порта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RJ45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SFP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SFP+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Интерфейс сетевых модулей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RJ45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SFP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SFP+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802.1ad правил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Тысяча штук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 xml:space="preserve">&gt; 1.2  и  ≤ 2 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ACL (списков/записей)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 xml:space="preserve"> ≥ 1000 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ARP записей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Тысяча штук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≥1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ECMP-групп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 xml:space="preserve">&gt; 512  и  ≤ 1024 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Количество L2 </w:t>
            </w:r>
            <w:proofErr w:type="spellStart"/>
            <w:r>
              <w:t>Multicast</w:t>
            </w:r>
            <w:proofErr w:type="spellEnd"/>
            <w:r>
              <w:t>-групп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Тысяча штук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 xml:space="preserve">&gt; 1.8  и  ≤ 2.2 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L3 интерфейсов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 xml:space="preserve">&gt; 1024  и  ≤ 2048 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LAG групп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&gt; 64  и  ≤ 128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LAN портов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≥ 24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Количество </w:t>
            </w:r>
            <w:proofErr w:type="spellStart"/>
            <w:r>
              <w:t>Loopback</w:t>
            </w:r>
            <w:proofErr w:type="spellEnd"/>
            <w:r>
              <w:t>-интерфейсов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&gt; 32  и  ≤ 64</w:t>
            </w:r>
          </w:p>
        </w:tc>
      </w:tr>
      <w:tr w:rsidR="00985050" w:rsidTr="003A4F6C">
        <w:trPr>
          <w:gridAfter w:val="1"/>
          <w:wAfter w:w="135" w:type="dxa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t>Количество записей MAC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Тысяча штук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≥ 16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Количество записей таблицы </w:t>
            </w:r>
            <w:proofErr w:type="spellStart"/>
            <w:r>
              <w:t>Vlan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Тысяча штук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&gt; 4  и  ≤ 8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очередей (выходных на порт)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&gt; 4  и  ≤ 8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Количество поддерживаемых устройств для объединения в </w:t>
            </w:r>
            <w:proofErr w:type="spellStart"/>
            <w:r>
              <w:t>стэк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≥ 8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портов 10G SFP+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≥ 4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портов 1G 8P8C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≥ 24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Количество портов в одном LAG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Штука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&gt; 4  и  ≤ 8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Конфигурация коммутатора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Фиксированный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Критерии фильтрации ACL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Port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Vlan</w:t>
            </w:r>
            <w:proofErr w:type="spellEnd"/>
            <w:r>
              <w:rPr>
                <w:color w:val="000000"/>
              </w:rPr>
              <w:t xml:space="preserve"> ID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Ethertype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CoS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MAC </w:t>
            </w:r>
            <w:proofErr w:type="spellStart"/>
            <w:r>
              <w:rPr>
                <w:color w:val="000000"/>
              </w:rPr>
              <w:t>source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address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MAC </w:t>
            </w:r>
            <w:proofErr w:type="spellStart"/>
            <w:r>
              <w:rPr>
                <w:color w:val="000000"/>
              </w:rPr>
              <w:t>destination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address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IPv4 </w:t>
            </w:r>
            <w:proofErr w:type="spellStart"/>
            <w:r>
              <w:rPr>
                <w:color w:val="000000"/>
              </w:rPr>
              <w:t>source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address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IPv4 </w:t>
            </w:r>
            <w:proofErr w:type="spellStart"/>
            <w:r>
              <w:rPr>
                <w:color w:val="000000"/>
              </w:rPr>
              <w:t>destination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address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IPv4 DSCP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IPv4 </w:t>
            </w:r>
            <w:proofErr w:type="spellStart"/>
            <w:r>
              <w:rPr>
                <w:color w:val="000000"/>
              </w:rPr>
              <w:t>Preference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IPv4 </w:t>
            </w:r>
            <w:proofErr w:type="spellStart"/>
            <w:r>
              <w:rPr>
                <w:color w:val="000000"/>
              </w:rPr>
              <w:t>ToS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IPv4 </w:t>
            </w:r>
            <w:proofErr w:type="spellStart"/>
            <w:r>
              <w:rPr>
                <w:color w:val="000000"/>
              </w:rPr>
              <w:t>security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option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IPv4 </w:t>
            </w:r>
            <w:proofErr w:type="spellStart"/>
            <w:r>
              <w:rPr>
                <w:color w:val="000000"/>
              </w:rPr>
              <w:t>protocol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numbers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IPv4 </w:t>
            </w:r>
            <w:proofErr w:type="spellStart"/>
            <w:r>
              <w:rPr>
                <w:color w:val="000000"/>
              </w:rPr>
              <w:t>custom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field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IPv6 </w:t>
            </w:r>
            <w:proofErr w:type="spellStart"/>
            <w:r>
              <w:rPr>
                <w:color w:val="000000"/>
              </w:rPr>
              <w:t>source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address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IPv6 </w:t>
            </w:r>
            <w:proofErr w:type="spellStart"/>
            <w:r>
              <w:rPr>
                <w:color w:val="000000"/>
              </w:rPr>
              <w:t>destination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address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TCP/UDP </w:t>
            </w:r>
            <w:proofErr w:type="spellStart"/>
            <w:r>
              <w:rPr>
                <w:color w:val="000000"/>
              </w:rPr>
              <w:t>source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port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TCP/UDP </w:t>
            </w:r>
            <w:proofErr w:type="spellStart"/>
            <w:r>
              <w:rPr>
                <w:color w:val="000000"/>
              </w:rPr>
              <w:t>destination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port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TCP/UDP </w:t>
            </w:r>
            <w:proofErr w:type="spellStart"/>
            <w:r>
              <w:rPr>
                <w:color w:val="000000"/>
              </w:rPr>
              <w:t>flags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Time-base</w:t>
            </w:r>
            <w:proofErr w:type="spellEnd"/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Максимальная потребляемая мощность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Ватт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≤ 50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Наличие встроенного температурного датчика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Наличие защиты от </w:t>
            </w:r>
            <w:proofErr w:type="spellStart"/>
            <w:r>
              <w:t>DoS</w:t>
            </w:r>
            <w:proofErr w:type="spellEnd"/>
            <w:r>
              <w:t>-атак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Наличие защиты от смены корневого коммутатора в домене STP (</w:t>
            </w:r>
            <w:proofErr w:type="spellStart"/>
            <w:r>
              <w:t>Root</w:t>
            </w:r>
            <w:proofErr w:type="spellEnd"/>
            <w:r>
              <w:t xml:space="preserve"> </w:t>
            </w:r>
            <w:proofErr w:type="spellStart"/>
            <w:r>
              <w:t>Guard</w:t>
            </w:r>
            <w:proofErr w:type="spellEnd"/>
            <w:r>
              <w:t>/</w:t>
            </w:r>
            <w:proofErr w:type="spellStart"/>
            <w:r>
              <w:t>Protection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Наличие интерфейсов 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CLI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WEB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Наличие механизма блокировки портов при получении сообщений BPDU (</w:t>
            </w:r>
            <w:proofErr w:type="spellStart"/>
            <w:r>
              <w:t>Bridge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Unit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Наличие механизма фильтрации сообщений BPDU (</w:t>
            </w:r>
            <w:proofErr w:type="spellStart"/>
            <w:r>
              <w:t>Bridge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Unit</w:t>
            </w:r>
            <w:proofErr w:type="spellEnd"/>
            <w:r>
              <w:t>) на портах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Наличие отдельного консольного (последовательного/серийного) порта для управления и диагностики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Наличие функции DHCP </w:t>
            </w:r>
            <w:proofErr w:type="spellStart"/>
            <w:r>
              <w:t>Snooping</w:t>
            </w:r>
            <w:proofErr w:type="spellEnd"/>
            <w:r>
              <w:t xml:space="preserve"> (защита от атак, связанных с протоколом DHCP)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Наличие функции </w:t>
            </w:r>
            <w:proofErr w:type="spellStart"/>
            <w:r>
              <w:t>Proxy</w:t>
            </w:r>
            <w:proofErr w:type="spellEnd"/>
            <w:r>
              <w:t xml:space="preserve"> ARP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Наличие функций защиты от атак, связанных с протоколом ARP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Объем оперативной памяти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Мегабайт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≥ 2048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Объем постоянного запоминающего устройства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Мегабайт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 xml:space="preserve">≥ 512 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Поддерживаемые типы очередей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FIFO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PQ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</w:t>
            </w:r>
            <w:proofErr w:type="spellStart"/>
            <w:r>
              <w:t>Dynamic</w:t>
            </w:r>
            <w:proofErr w:type="spellEnd"/>
            <w:r>
              <w:t xml:space="preserve"> ARP </w:t>
            </w:r>
            <w:proofErr w:type="spellStart"/>
            <w:r>
              <w:t>Inspection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IP </w:t>
            </w:r>
            <w:proofErr w:type="spellStart"/>
            <w:r>
              <w:t>Source</w:t>
            </w:r>
            <w:proofErr w:type="spellEnd"/>
            <w:r>
              <w:t xml:space="preserve"> </w:t>
            </w:r>
            <w:proofErr w:type="spellStart"/>
            <w:r>
              <w:t>Guard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IPv6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</w:t>
            </w:r>
            <w:proofErr w:type="spellStart"/>
            <w:r>
              <w:t>Radius</w:t>
            </w:r>
            <w:proofErr w:type="spellEnd"/>
            <w:r>
              <w:t xml:space="preserve"> EAP (RFC 3579)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</w:t>
            </w:r>
            <w:proofErr w:type="spellStart"/>
            <w:r>
              <w:t>автосогласования</w:t>
            </w:r>
            <w:proofErr w:type="spellEnd"/>
            <w:r>
              <w:t xml:space="preserve"> (</w:t>
            </w:r>
            <w:proofErr w:type="spellStart"/>
            <w:r>
              <w:t>autonegotiation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алгоритма управления очередями WRR (</w:t>
            </w:r>
            <w:proofErr w:type="spellStart"/>
            <w:r>
              <w:t>weighted</w:t>
            </w:r>
            <w:proofErr w:type="spellEnd"/>
            <w:r>
              <w:t xml:space="preserve"> </w:t>
            </w:r>
            <w:proofErr w:type="spellStart"/>
            <w:r>
              <w:t>round</w:t>
            </w:r>
            <w:proofErr w:type="spellEnd"/>
            <w:r>
              <w:t xml:space="preserve"> </w:t>
            </w:r>
            <w:proofErr w:type="spellStart"/>
            <w:r>
              <w:t>robin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балансировки по эквивалентным путям для протокола IP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RPr="003A4F6C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безопасности протоколов связующего дерева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Spanning Tree Fast Link option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  <w:rPr>
                <w:lang w:val="en-US"/>
              </w:rPr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STP </w:t>
            </w:r>
            <w:proofErr w:type="spellStart"/>
            <w:r>
              <w:rPr>
                <w:color w:val="000000"/>
              </w:rPr>
              <w:t>Root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Guard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BPDU </w:t>
            </w:r>
            <w:proofErr w:type="spellStart"/>
            <w:r>
              <w:rPr>
                <w:color w:val="000000"/>
              </w:rPr>
              <w:t>Filtering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STP BPDU </w:t>
            </w:r>
            <w:proofErr w:type="spellStart"/>
            <w:r>
              <w:rPr>
                <w:color w:val="000000"/>
              </w:rPr>
              <w:t>Guard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Loopback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Detection</w:t>
            </w:r>
            <w:proofErr w:type="spellEnd"/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временных списков контроля доступа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выделенных VLAN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Voice</w:t>
            </w:r>
            <w:proofErr w:type="spellEnd"/>
            <w:r>
              <w:rPr>
                <w:color w:val="000000"/>
              </w:rPr>
              <w:t xml:space="preserve"> VLAN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Guest</w:t>
            </w:r>
            <w:proofErr w:type="spellEnd"/>
            <w:r>
              <w:rPr>
                <w:color w:val="000000"/>
              </w:rPr>
              <w:t xml:space="preserve"> VLAN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Private</w:t>
            </w:r>
            <w:proofErr w:type="spellEnd"/>
            <w:r>
              <w:rPr>
                <w:color w:val="000000"/>
              </w:rPr>
              <w:t xml:space="preserve"> VLAN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доступа к веб-интерфейсу по SSL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доступа к консоли по SSH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защиты доступа к сети по стандарту (802.1x)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</w:t>
            </w:r>
            <w:proofErr w:type="spellStart"/>
            <w:r>
              <w:t>зеркалирования</w:t>
            </w:r>
            <w:proofErr w:type="spellEnd"/>
            <w:r>
              <w:t xml:space="preserve"> портов (</w:t>
            </w:r>
            <w:proofErr w:type="spellStart"/>
            <w:r>
              <w:t>port</w:t>
            </w:r>
            <w:proofErr w:type="spellEnd"/>
            <w:r>
              <w:t xml:space="preserve"> </w:t>
            </w:r>
            <w:proofErr w:type="spellStart"/>
            <w:r>
              <w:t>mirroring</w:t>
            </w:r>
            <w:proofErr w:type="spellEnd"/>
            <w:r>
              <w:t>) в рамках одного стека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</w:t>
            </w:r>
            <w:proofErr w:type="spellStart"/>
            <w:r>
              <w:t>зеркалирования</w:t>
            </w:r>
            <w:proofErr w:type="spellEnd"/>
            <w:r>
              <w:t xml:space="preserve"> портов (</w:t>
            </w:r>
            <w:proofErr w:type="spellStart"/>
            <w:r>
              <w:t>port</w:t>
            </w:r>
            <w:proofErr w:type="spellEnd"/>
            <w:r>
              <w:t xml:space="preserve"> </w:t>
            </w:r>
            <w:proofErr w:type="spellStart"/>
            <w:r>
              <w:t>mirroring</w:t>
            </w:r>
            <w:proofErr w:type="spellEnd"/>
            <w:r>
              <w:t>) в рамках одного устройства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</w:t>
            </w:r>
            <w:proofErr w:type="spellStart"/>
            <w:r>
              <w:t>зеркалирования</w:t>
            </w:r>
            <w:proofErr w:type="spellEnd"/>
            <w:r>
              <w:t xml:space="preserve"> трафика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SPAN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RSPAN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sFlow</w:t>
            </w:r>
            <w:proofErr w:type="spellEnd"/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маршрутизации на основе политик (Policy-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Routing</w:t>
            </w:r>
            <w:proofErr w:type="spellEnd"/>
            <w:r>
              <w:t>; PBR)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механизма маркировки трафика </w:t>
            </w:r>
            <w:proofErr w:type="spellStart"/>
            <w:r>
              <w:t>Class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Service</w:t>
            </w:r>
            <w:proofErr w:type="spellEnd"/>
            <w:r>
              <w:t xml:space="preserve"> (</w:t>
            </w:r>
            <w:proofErr w:type="spellStart"/>
            <w:r>
              <w:t>CoS</w:t>
            </w:r>
            <w:proofErr w:type="spellEnd"/>
            <w:r>
              <w:t>; стандарт IEEE 802.1p)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механизма маркировки трафика </w:t>
            </w:r>
            <w:proofErr w:type="spellStart"/>
            <w:r>
              <w:t>Differentiated</w:t>
            </w:r>
            <w:proofErr w:type="spellEnd"/>
            <w:r>
              <w:t xml:space="preserve"> </w:t>
            </w:r>
            <w:proofErr w:type="spellStart"/>
            <w:r>
              <w:t>Services</w:t>
            </w:r>
            <w:proofErr w:type="spellEnd"/>
            <w:r>
              <w:t xml:space="preserve"> (</w:t>
            </w:r>
            <w:proofErr w:type="spellStart"/>
            <w:r>
              <w:t>DiffServ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отправки системных событий (логов) на удаленное хранилище (например, </w:t>
            </w:r>
            <w:proofErr w:type="spellStart"/>
            <w:r>
              <w:t>syslog</w:t>
            </w:r>
            <w:proofErr w:type="spellEnd"/>
            <w:r>
              <w:t>-сервер)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приема и передачи и тегированного и </w:t>
            </w:r>
            <w:proofErr w:type="spellStart"/>
            <w:r>
              <w:t>нетегированного</w:t>
            </w:r>
            <w:proofErr w:type="spellEnd"/>
            <w:r>
              <w:t xml:space="preserve"> трафика одновременно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протоколов ААА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Local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Radius</w:t>
            </w:r>
            <w:proofErr w:type="spellEnd"/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proofErr w:type="spellStart"/>
            <w:r>
              <w:t>Tacacs</w:t>
            </w:r>
            <w:proofErr w:type="spellEnd"/>
            <w:r>
              <w:t>+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802.1x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протоколов бесшовного резервирования высокой доступности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ERPS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протоколов и средств 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DHСP </w:t>
            </w:r>
            <w:proofErr w:type="spellStart"/>
            <w:r>
              <w:rPr>
                <w:color w:val="000000"/>
              </w:rPr>
              <w:t>client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LACP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BFD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IS-IS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OSPFv2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OSPFv3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AAA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Static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DHCP </w:t>
            </w:r>
            <w:proofErr w:type="spellStart"/>
            <w:r>
              <w:rPr>
                <w:color w:val="000000"/>
              </w:rPr>
              <w:t>server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DHCP </w:t>
            </w:r>
            <w:proofErr w:type="spellStart"/>
            <w:r>
              <w:rPr>
                <w:color w:val="000000"/>
              </w:rPr>
              <w:t>relay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DHCPv6 </w:t>
            </w:r>
            <w:proofErr w:type="spellStart"/>
            <w:r>
              <w:rPr>
                <w:color w:val="000000"/>
              </w:rPr>
              <w:t>client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BootP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client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IGMP </w:t>
            </w:r>
            <w:proofErr w:type="spellStart"/>
            <w:r>
              <w:rPr>
                <w:color w:val="000000"/>
              </w:rPr>
              <w:t>Proxy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PIM SM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Local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NTP </w:t>
            </w:r>
            <w:proofErr w:type="spellStart"/>
            <w:r>
              <w:rPr>
                <w:color w:val="000000"/>
              </w:rPr>
              <w:t>client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SNTP </w:t>
            </w:r>
            <w:proofErr w:type="spellStart"/>
            <w:r>
              <w:rPr>
                <w:color w:val="000000"/>
              </w:rPr>
              <w:t>client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Стандарт ERPS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Стандарт MSTP IEE 802.1s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Telnet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SSHv2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PIM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IGMP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sFlow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LLDP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RADIUS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SNMPv1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SNMPv2c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HTTP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HTTPS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SFTP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NTP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DHCP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DNS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ICMP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802.1X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TCP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SNMP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SSH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jc w:val="center"/>
            </w:pPr>
            <w:r>
              <w:t>RMON</w:t>
            </w: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t>SCP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IPv4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работы протокола связующего дерева, при котором в каждом VLAN работает отдельный экземпляр STP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стандарта GVRP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стандарта IEEE 802.1Q (VLAN)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стандарта IEEE 802.1ad (</w:t>
            </w:r>
            <w:proofErr w:type="spellStart"/>
            <w:r>
              <w:t>QinQ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lang w:val="en-US"/>
              </w:rPr>
            </w:pPr>
            <w:r>
              <w:t>Поддержка</w:t>
            </w:r>
            <w:r>
              <w:rPr>
                <w:lang w:val="en-US"/>
              </w:rPr>
              <w:t xml:space="preserve"> </w:t>
            </w:r>
            <w:r>
              <w:t>стандарта</w:t>
            </w:r>
            <w:r>
              <w:rPr>
                <w:lang w:val="en-US"/>
              </w:rPr>
              <w:t xml:space="preserve"> Multicast VLAN registration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lang w:val="en-US"/>
              </w:rPr>
            </w:pPr>
            <w:r>
              <w:t>Поддержка</w:t>
            </w:r>
            <w:r>
              <w:rPr>
                <w:lang w:val="en-US"/>
              </w:rPr>
              <w:t xml:space="preserve"> </w:t>
            </w:r>
            <w:r>
              <w:t>стандарта</w:t>
            </w:r>
            <w:r>
              <w:rPr>
                <w:lang w:val="en-US"/>
              </w:rPr>
              <w:t xml:space="preserve"> Rapid Spanning Tree Protocol IEE 802.1w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Поддержка стандарта STP </w:t>
            </w:r>
            <w:proofErr w:type="spellStart"/>
            <w:r>
              <w:t>Loopback</w:t>
            </w:r>
            <w:proofErr w:type="spellEnd"/>
            <w:r>
              <w:t xml:space="preserve"> </w:t>
            </w:r>
            <w:proofErr w:type="spellStart"/>
            <w:r>
              <w:t>Detection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lang w:val="en-US"/>
              </w:rPr>
            </w:pPr>
            <w:r>
              <w:t>Поддержка</w:t>
            </w:r>
            <w:r>
              <w:rPr>
                <w:lang w:val="en-US"/>
              </w:rPr>
              <w:t xml:space="preserve"> </w:t>
            </w:r>
            <w:r>
              <w:t>стандарта</w:t>
            </w:r>
            <w:r>
              <w:rPr>
                <w:lang w:val="en-US"/>
              </w:rPr>
              <w:t xml:space="preserve"> Selective Double (VLAN)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lang w:val="en-US"/>
              </w:rPr>
            </w:pPr>
            <w:r>
              <w:t>Поддержка</w:t>
            </w:r>
            <w:r>
              <w:rPr>
                <w:lang w:val="en-US"/>
              </w:rPr>
              <w:t xml:space="preserve"> </w:t>
            </w:r>
            <w:r>
              <w:t>стандарта</w:t>
            </w:r>
            <w:r>
              <w:rPr>
                <w:lang w:val="en-US"/>
              </w:rPr>
              <w:t xml:space="preserve"> Spanning Tree Protocol IEE 802.1d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Поддержка статической маршрутизации IPv4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  <w:rPr>
                <w:lang w:val="en-US"/>
              </w:rPr>
            </w:pPr>
            <w:r>
              <w:t>Поддержка</w:t>
            </w:r>
            <w:r>
              <w:rPr>
                <w:lang w:val="en-US"/>
              </w:rPr>
              <w:t xml:space="preserve"> </w:t>
            </w:r>
            <w:r>
              <w:t>технологии</w:t>
            </w:r>
            <w:r>
              <w:rPr>
                <w:lang w:val="en-US"/>
              </w:rPr>
              <w:t xml:space="preserve"> Auto MDI-X (Auto Medium Dependent Interface Crossover)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Проверка подлинности на основе MAC-адреса </w:t>
            </w:r>
            <w:proofErr w:type="spellStart"/>
            <w:r>
              <w:t>Port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Да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Производительность (</w:t>
            </w:r>
            <w:proofErr w:type="spellStart"/>
            <w:r>
              <w:t>Full</w:t>
            </w:r>
            <w:proofErr w:type="spellEnd"/>
            <w:r>
              <w:t xml:space="preserve"> </w:t>
            </w:r>
            <w:proofErr w:type="spellStart"/>
            <w:r>
              <w:t>Duplex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 w:rsidP="003A4F6C">
            <w:pPr>
              <w:spacing w:line="239" w:lineRule="exact"/>
            </w:pPr>
            <w:r>
              <w:t>Гигабит в секунду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 xml:space="preserve">≥ 128 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Размер пакетного буфера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Мегабайт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 xml:space="preserve"> ≥ 1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Тип модуля управления по отношению к коммутационной матрице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Совмещённый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Тип организации списков контроля доступа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DSCP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IP-протокол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Номер порта TCP/UDP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Порт коммутатора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Приоритет IEEE 802.1p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VLAN ID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proofErr w:type="spellStart"/>
            <w:r>
              <w:rPr>
                <w:color w:val="000000"/>
              </w:rPr>
              <w:t>EtherType</w:t>
            </w:r>
            <w:proofErr w:type="spellEnd"/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Тип охлаждения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Пассивное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Тип размещения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Телекоммуникационная стойка или шкаф 19"</w:t>
            </w: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>Уровень управляемого коммутатора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center"/>
            </w:pPr>
            <w:r>
              <w:t>3</w:t>
            </w:r>
          </w:p>
        </w:tc>
      </w:tr>
      <w:tr w:rsidR="00985050" w:rsidTr="003A4F6C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239" w:lineRule="exact"/>
              <w:jc w:val="both"/>
            </w:pPr>
            <w:r>
              <w:t xml:space="preserve">Функции L2 </w:t>
            </w:r>
            <w:proofErr w:type="spellStart"/>
            <w:r>
              <w:t>Multicast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IGMP </w:t>
            </w:r>
            <w:proofErr w:type="spellStart"/>
            <w:r>
              <w:rPr>
                <w:color w:val="000000"/>
              </w:rPr>
              <w:t>Snooping</w:t>
            </w:r>
            <w:proofErr w:type="spellEnd"/>
            <w:r>
              <w:rPr>
                <w:color w:val="000000"/>
              </w:rPr>
              <w:t xml:space="preserve"> v1,2,3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IGMP </w:t>
            </w:r>
            <w:proofErr w:type="spellStart"/>
            <w:r>
              <w:rPr>
                <w:color w:val="000000"/>
              </w:rPr>
              <w:t>Snooping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Fast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Leave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 xml:space="preserve">MLD </w:t>
            </w:r>
            <w:proofErr w:type="spellStart"/>
            <w:r>
              <w:rPr>
                <w:color w:val="000000"/>
              </w:rPr>
              <w:t>Snooping</w:t>
            </w:r>
            <w:proofErr w:type="spellEnd"/>
            <w:r>
              <w:rPr>
                <w:color w:val="000000"/>
              </w:rPr>
              <w:t xml:space="preserve"> v1,2</w:t>
            </w:r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</w:pPr>
          </w:p>
        </w:tc>
      </w:tr>
      <w:tr w:rsidR="00985050" w:rsidRPr="003A4F6C" w:rsidTr="003A4F6C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IGMP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lang w:val="en-US"/>
              </w:rPr>
              <w:t xml:space="preserve"> MLD Snooping </w:t>
            </w:r>
            <w:proofErr w:type="spellStart"/>
            <w:r>
              <w:rPr>
                <w:color w:val="000000"/>
                <w:lang w:val="en-US"/>
              </w:rPr>
              <w:t>Querier</w:t>
            </w:r>
            <w:proofErr w:type="spellEnd"/>
          </w:p>
        </w:tc>
        <w:tc>
          <w:tcPr>
            <w:tcW w:w="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50" w:rsidRDefault="00985050">
            <w:pPr>
              <w:spacing w:line="57" w:lineRule="atLeast"/>
              <w:rPr>
                <w:lang w:val="en-US"/>
              </w:rPr>
            </w:pPr>
          </w:p>
        </w:tc>
      </w:tr>
      <w:tr w:rsidR="00985050" w:rsidTr="003A4F6C">
        <w:trPr>
          <w:gridAfter w:val="1"/>
          <w:wAfter w:w="135" w:type="dxa"/>
          <w:trHeight w:val="276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050" w:rsidRDefault="00985050">
            <w:pPr>
              <w:pStyle w:val="af5"/>
              <w:numPr>
                <w:ilvl w:val="1"/>
                <w:numId w:val="38"/>
              </w:numPr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both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985050">
            <w:pPr>
              <w:spacing w:line="239" w:lineRule="exact"/>
              <w:jc w:val="center"/>
              <w:rPr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85050" w:rsidRDefault="00A241E4">
            <w:pPr>
              <w:spacing w:line="57" w:lineRule="atLeast"/>
              <w:jc w:val="center"/>
            </w:pPr>
            <w:r>
              <w:rPr>
                <w:color w:val="000000"/>
              </w:rPr>
              <w:t>MVR</w:t>
            </w:r>
          </w:p>
        </w:tc>
      </w:tr>
    </w:tbl>
    <w:p w:rsidR="003A4F6C" w:rsidRDefault="003A4F6C">
      <w:pPr>
        <w:tabs>
          <w:tab w:val="left" w:pos="567"/>
        </w:tabs>
        <w:jc w:val="center"/>
        <w:rPr>
          <w:b/>
        </w:rPr>
      </w:pPr>
    </w:p>
    <w:p w:rsidR="00985050" w:rsidRDefault="00A241E4" w:rsidP="0058340C">
      <w:pPr>
        <w:tabs>
          <w:tab w:val="left" w:pos="567"/>
        </w:tabs>
        <w:jc w:val="center"/>
        <w:rPr>
          <w:b/>
          <w:bCs/>
        </w:rPr>
      </w:pPr>
      <w:r>
        <w:rPr>
          <w:b/>
        </w:rPr>
        <w:t>Общие сведения</w:t>
      </w:r>
    </w:p>
    <w:p w:rsidR="00985050" w:rsidRDefault="00A241E4">
      <w:pPr>
        <w:ind w:firstLine="708"/>
        <w:jc w:val="both"/>
      </w:pPr>
      <w:r>
        <w:lastRenderedPageBreak/>
        <w:t>Поставляемый Тов</w:t>
      </w:r>
      <w:r>
        <w:t>ар должен быть новым (Товар, который не был в употреблении, в ремонте, в том числе не прошел восстановление, у которого не была осуществлена замена составных частей, не были восстановлены потребительские свойства), надлежащего качества, не должен иметь деф</w:t>
      </w:r>
      <w:r>
        <w:t>ектов, связанных с качеством его изготовления, либо с качеством используемых при его изготовлении материалов, отвечать требованиям пожарной безопасности и экологии, свободным от прав третьих лиц и не являться предметом залога, ареста или иного обременения.</w:t>
      </w:r>
    </w:p>
    <w:p w:rsidR="00985050" w:rsidRDefault="00A241E4">
      <w:pPr>
        <w:ind w:firstLine="708"/>
        <w:jc w:val="both"/>
      </w:pPr>
      <w:r>
        <w:t>Товар должен соответствовать требованиям Заказчика и техническим условиям изготовителя Товара.</w:t>
      </w:r>
    </w:p>
    <w:p w:rsidR="00985050" w:rsidRDefault="00A241E4">
      <w:pPr>
        <w:ind w:firstLine="708"/>
        <w:jc w:val="both"/>
      </w:pPr>
      <w:r>
        <w:t>Гарантийный срок составляет не менее 12 месяцев.</w:t>
      </w:r>
    </w:p>
    <w:p w:rsidR="00985050" w:rsidRDefault="00A241E4">
      <w:pPr>
        <w:ind w:firstLine="708"/>
        <w:jc w:val="both"/>
      </w:pPr>
      <w:r>
        <w:t>Год изготовления Товара – не ранее 2025 г.</w:t>
      </w:r>
    </w:p>
    <w:p w:rsidR="00985050" w:rsidRDefault="00985050">
      <w:pPr>
        <w:ind w:firstLine="708"/>
        <w:jc w:val="both"/>
      </w:pPr>
    </w:p>
    <w:p w:rsidR="00985050" w:rsidRDefault="00A241E4" w:rsidP="0058340C">
      <w:pPr>
        <w:tabs>
          <w:tab w:val="left" w:pos="567"/>
        </w:tabs>
        <w:jc w:val="center"/>
        <w:rPr>
          <w:b/>
          <w:bCs/>
        </w:rPr>
      </w:pPr>
      <w:r>
        <w:rPr>
          <w:b/>
        </w:rPr>
        <w:t>Требования к упаковке, маркировке (этикеткам)</w:t>
      </w:r>
    </w:p>
    <w:p w:rsidR="00985050" w:rsidRDefault="00A241E4">
      <w:pPr>
        <w:ind w:firstLine="708"/>
        <w:jc w:val="both"/>
        <w:rPr>
          <w:rFonts w:eastAsia="Batang"/>
        </w:rPr>
      </w:pPr>
      <w:r>
        <w:t>Товар должен поставляться в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</w:t>
      </w:r>
      <w:r>
        <w:rPr>
          <w:rFonts w:eastAsia="Batang"/>
          <w:lang w:eastAsia="ko-KR"/>
        </w:rPr>
        <w:t xml:space="preserve"> </w:t>
      </w:r>
    </w:p>
    <w:p w:rsidR="00985050" w:rsidRDefault="00A241E4">
      <w:pPr>
        <w:pStyle w:val="1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Маркировка товара и тары (упаковки) товара, в том числе транспортной, должна соответствовать требованиям действующего законодательства Российской Федерации и содержать информацию о наименовании изделия, наименовании фирмы-изготовителя, адресе изготовител</w:t>
      </w:r>
      <w:r>
        <w:rPr>
          <w:rFonts w:ascii="Times New Roman" w:hAnsi="Times New Roman"/>
          <w:sz w:val="24"/>
          <w:szCs w:val="24"/>
        </w:rPr>
        <w:t>я, дате выпуска.</w:t>
      </w:r>
    </w:p>
    <w:p w:rsidR="00985050" w:rsidRDefault="00A241E4">
      <w:pPr>
        <w:pStyle w:val="15"/>
        <w:ind w:firstLine="708"/>
        <w:jc w:val="both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  <w:lang w:eastAsia="ko-KR"/>
        </w:rPr>
        <w:t xml:space="preserve">Отгрузка </w:t>
      </w:r>
      <w:r>
        <w:rPr>
          <w:rFonts w:ascii="Times New Roman" w:hAnsi="Times New Roman"/>
          <w:sz w:val="24"/>
          <w:szCs w:val="24"/>
        </w:rPr>
        <w:t>товара</w:t>
      </w:r>
      <w:r>
        <w:rPr>
          <w:rFonts w:ascii="Times New Roman" w:eastAsia="Batang" w:hAnsi="Times New Roman"/>
          <w:sz w:val="24"/>
          <w:szCs w:val="24"/>
          <w:lang w:eastAsia="ko-KR"/>
        </w:rPr>
        <w:t xml:space="preserve"> осуществляется в соответствии с требованиями и рекомендациями производителя товара, указанными в сопроводительной документации к товару.</w:t>
      </w:r>
    </w:p>
    <w:p w:rsidR="00985050" w:rsidRDefault="00985050">
      <w:pPr>
        <w:jc w:val="both"/>
      </w:pPr>
    </w:p>
    <w:p w:rsidR="00985050" w:rsidRDefault="00A241E4" w:rsidP="0058340C">
      <w:pPr>
        <w:jc w:val="center"/>
        <w:rPr>
          <w:b/>
          <w:color w:val="000000"/>
        </w:rPr>
      </w:pPr>
      <w:r>
        <w:rPr>
          <w:b/>
          <w:color w:val="000000"/>
        </w:rPr>
        <w:t>Требования к условиям поставки товара</w:t>
      </w:r>
    </w:p>
    <w:p w:rsidR="00985050" w:rsidRDefault="00A241E4">
      <w:pPr>
        <w:ind w:firstLine="708"/>
        <w:jc w:val="both"/>
      </w:pPr>
      <w:r>
        <w:t>Товар должен быть поставлен в течении 45 дне</w:t>
      </w:r>
      <w:r>
        <w:t xml:space="preserve">й с даты заключения Контракта. Доставка и выгрузка товара производится силами Поставщика по адресу: Хабаровский край, г. Хабаровск, ул. Истомина 51, </w:t>
      </w:r>
      <w:proofErr w:type="spellStart"/>
      <w:r>
        <w:t>каб</w:t>
      </w:r>
      <w:proofErr w:type="spellEnd"/>
      <w:r>
        <w:t>. 102, тел: 8(4212)910191.</w:t>
      </w:r>
    </w:p>
    <w:p w:rsidR="003A4F6C" w:rsidRDefault="003A4F6C" w:rsidP="003A4F6C"/>
    <w:p w:rsidR="003A4F6C" w:rsidRDefault="003A4F6C" w:rsidP="003A4F6C"/>
    <w:p w:rsidR="00A241E4" w:rsidRDefault="00A241E4" w:rsidP="003A4F6C"/>
    <w:p w:rsidR="00A241E4" w:rsidRDefault="00A241E4" w:rsidP="003A4F6C"/>
    <w:p w:rsidR="00A241E4" w:rsidRDefault="00A241E4" w:rsidP="003A4F6C"/>
    <w:p w:rsidR="00A241E4" w:rsidRDefault="00A241E4" w:rsidP="003A4F6C"/>
    <w:p w:rsidR="00A241E4" w:rsidRDefault="00A241E4" w:rsidP="003A4F6C"/>
    <w:p w:rsidR="00A241E4" w:rsidRDefault="00A241E4" w:rsidP="003A4F6C">
      <w:bookmarkStart w:id="0" w:name="_GoBack"/>
      <w:bookmarkEnd w:id="0"/>
    </w:p>
    <w:p w:rsidR="003A4F6C" w:rsidRDefault="003A4F6C" w:rsidP="003A4F6C"/>
    <w:p w:rsidR="003A4F6C" w:rsidRDefault="003A4F6C" w:rsidP="003A4F6C"/>
    <w:p w:rsidR="003A4F6C" w:rsidRDefault="003A4F6C" w:rsidP="003A4F6C"/>
    <w:p w:rsidR="003A4F6C" w:rsidRDefault="003A4F6C" w:rsidP="003A4F6C"/>
    <w:p w:rsidR="003A4F6C" w:rsidRDefault="003A4F6C" w:rsidP="003A4F6C"/>
    <w:p w:rsidR="003A4F6C" w:rsidRDefault="003A4F6C" w:rsidP="003A4F6C"/>
    <w:p w:rsidR="003A4F6C" w:rsidRDefault="003A4F6C" w:rsidP="003A4F6C"/>
    <w:p w:rsidR="003A4F6C" w:rsidRDefault="003A4F6C" w:rsidP="003A4F6C"/>
    <w:p w:rsidR="00985050" w:rsidRPr="003A4F6C" w:rsidRDefault="00A241E4" w:rsidP="003A4F6C">
      <w:pPr>
        <w:jc w:val="both"/>
        <w:rPr>
          <w:b/>
          <w:i/>
          <w:color w:val="000000"/>
          <w:sz w:val="20"/>
          <w:szCs w:val="20"/>
        </w:rPr>
      </w:pPr>
      <w:r w:rsidRPr="003A4F6C">
        <w:rPr>
          <w:b/>
          <w:bCs/>
          <w:i/>
          <w:color w:val="000000"/>
          <w:sz w:val="20"/>
          <w:szCs w:val="20"/>
          <w:lang w:eastAsia="en-US"/>
        </w:rPr>
        <w:t>Примечание</w:t>
      </w:r>
    </w:p>
    <w:p w:rsidR="00985050" w:rsidRPr="003A4F6C" w:rsidRDefault="00A241E4" w:rsidP="003A4F6C">
      <w:pPr>
        <w:ind w:firstLine="708"/>
        <w:jc w:val="both"/>
        <w:rPr>
          <w:i/>
          <w:sz w:val="20"/>
          <w:szCs w:val="20"/>
        </w:rPr>
      </w:pPr>
      <w:r w:rsidRPr="003A4F6C">
        <w:rPr>
          <w:i/>
          <w:sz w:val="20"/>
          <w:szCs w:val="20"/>
          <w:lang w:eastAsia="en-US"/>
        </w:rPr>
        <w:t>Во всех случаях, когда в Технической части или в приложениях к</w:t>
      </w:r>
      <w:r w:rsidRPr="003A4F6C">
        <w:rPr>
          <w:i/>
          <w:sz w:val="20"/>
          <w:szCs w:val="20"/>
          <w:lang w:eastAsia="en-US"/>
        </w:rPr>
        <w:t xml:space="preserve">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</w:t>
      </w:r>
      <w:r w:rsidRPr="003A4F6C">
        <w:rPr>
          <w:i/>
          <w:sz w:val="20"/>
          <w:szCs w:val="20"/>
          <w:lang w:eastAsia="en-US"/>
        </w:rPr>
        <w:t>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</w:t>
      </w:r>
      <w:r w:rsidRPr="003A4F6C">
        <w:rPr>
          <w:i/>
          <w:sz w:val="20"/>
          <w:szCs w:val="20"/>
          <w:lang w:eastAsia="en-US"/>
        </w:rPr>
        <w:t>оречащей действующим к такому моменту нормативным актам.</w:t>
      </w:r>
    </w:p>
    <w:sectPr w:rsidR="00985050" w:rsidRPr="003A4F6C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050" w:rsidRDefault="00A241E4">
      <w:r>
        <w:separator/>
      </w:r>
    </w:p>
  </w:endnote>
  <w:endnote w:type="continuationSeparator" w:id="0">
    <w:p w:rsidR="00985050" w:rsidRDefault="00A24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empora LGC Un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050" w:rsidRDefault="00A241E4">
      <w:r>
        <w:separator/>
      </w:r>
    </w:p>
  </w:footnote>
  <w:footnote w:type="continuationSeparator" w:id="0">
    <w:p w:rsidR="00985050" w:rsidRDefault="00A24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050" w:rsidRDefault="009850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7D80"/>
    <w:multiLevelType w:val="hybridMultilevel"/>
    <w:tmpl w:val="BD725D0C"/>
    <w:lvl w:ilvl="0" w:tplc="F80CA3F8">
      <w:start w:val="1"/>
      <w:numFmt w:val="bullet"/>
      <w:pStyle w:val="5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68D47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9AACB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7CCF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68F8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4E4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702C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F0D6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708F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1C44"/>
    <w:multiLevelType w:val="multilevel"/>
    <w:tmpl w:val="4016E78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iCs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0C33F49"/>
    <w:multiLevelType w:val="hybridMultilevel"/>
    <w:tmpl w:val="441C5710"/>
    <w:lvl w:ilvl="0" w:tplc="6A78F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186F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7027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647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8CD0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8EF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16B4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6E22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A8E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74A8C"/>
    <w:multiLevelType w:val="hybridMultilevel"/>
    <w:tmpl w:val="4DCAAB66"/>
    <w:lvl w:ilvl="0" w:tplc="F2FC4806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A3FEDD0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ECA53F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2E83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A94EFC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3E0907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AC809D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C7C6A4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53E619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3D3D05"/>
    <w:multiLevelType w:val="multilevel"/>
    <w:tmpl w:val="8292B1A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92" w:hanging="46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0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</w:lvl>
  </w:abstractNum>
  <w:abstractNum w:abstractNumId="5" w15:restartNumberingAfterBreak="0">
    <w:nsid w:val="17873FBB"/>
    <w:multiLevelType w:val="multilevel"/>
    <w:tmpl w:val="9A9CE10E"/>
    <w:lvl w:ilvl="0">
      <w:start w:val="1"/>
      <w:numFmt w:val="decimal"/>
      <w:lvlText w:val="%1."/>
      <w:lvlJc w:val="left"/>
      <w:pPr>
        <w:ind w:left="224" w:firstLine="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656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D51A5D"/>
    <w:multiLevelType w:val="multilevel"/>
    <w:tmpl w:val="7534E2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iCs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2F843BD"/>
    <w:multiLevelType w:val="hybridMultilevel"/>
    <w:tmpl w:val="DD768236"/>
    <w:lvl w:ilvl="0" w:tplc="EC4CB13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C15A4314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DD8A8388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6E32E0CC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7A78CBCE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5922EAC6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4E9C1B1E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90DE2846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8214D9AE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26997EE6"/>
    <w:multiLevelType w:val="hybridMultilevel"/>
    <w:tmpl w:val="2A1E4A1A"/>
    <w:lvl w:ilvl="0" w:tplc="2CB8F6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0"/>
      </w:rPr>
    </w:lvl>
    <w:lvl w:ilvl="1" w:tplc="E68897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FAE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B035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149E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5AE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0F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FA36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02C2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41075"/>
    <w:multiLevelType w:val="multilevel"/>
    <w:tmpl w:val="0194E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2CC8230B"/>
    <w:multiLevelType w:val="hybridMultilevel"/>
    <w:tmpl w:val="2E0CE210"/>
    <w:lvl w:ilvl="0" w:tplc="0ED67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5CC3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2EC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9EC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6037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E01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020F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E4C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60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B453C"/>
    <w:multiLevelType w:val="multilevel"/>
    <w:tmpl w:val="7F869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38B81B2C"/>
    <w:multiLevelType w:val="multilevel"/>
    <w:tmpl w:val="1D440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8D21BB6"/>
    <w:multiLevelType w:val="multilevel"/>
    <w:tmpl w:val="FD5448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9E01127"/>
    <w:multiLevelType w:val="multilevel"/>
    <w:tmpl w:val="54DA9CE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15" w15:restartNumberingAfterBreak="0">
    <w:nsid w:val="43444633"/>
    <w:multiLevelType w:val="hybridMultilevel"/>
    <w:tmpl w:val="9D9A9AE4"/>
    <w:lvl w:ilvl="0" w:tplc="C86A0A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154F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86C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90C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000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207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B8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6A1F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F8F4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DC21F8"/>
    <w:multiLevelType w:val="hybridMultilevel"/>
    <w:tmpl w:val="D14025AE"/>
    <w:lvl w:ilvl="0" w:tplc="0A5E2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E6D234">
      <w:start w:val="1"/>
      <w:numFmt w:val="lowerLetter"/>
      <w:lvlText w:val="%2."/>
      <w:lvlJc w:val="left"/>
      <w:pPr>
        <w:ind w:left="1440" w:hanging="360"/>
      </w:pPr>
    </w:lvl>
    <w:lvl w:ilvl="2" w:tplc="982EB4B8">
      <w:start w:val="1"/>
      <w:numFmt w:val="lowerRoman"/>
      <w:lvlText w:val="%3."/>
      <w:lvlJc w:val="right"/>
      <w:pPr>
        <w:ind w:left="2160" w:hanging="180"/>
      </w:pPr>
    </w:lvl>
    <w:lvl w:ilvl="3" w:tplc="9C4EDA1E">
      <w:start w:val="1"/>
      <w:numFmt w:val="decimal"/>
      <w:lvlText w:val="%4."/>
      <w:lvlJc w:val="left"/>
      <w:pPr>
        <w:ind w:left="2880" w:hanging="360"/>
      </w:pPr>
    </w:lvl>
    <w:lvl w:ilvl="4" w:tplc="49D03D94">
      <w:start w:val="1"/>
      <w:numFmt w:val="lowerLetter"/>
      <w:lvlText w:val="%5."/>
      <w:lvlJc w:val="left"/>
      <w:pPr>
        <w:ind w:left="3600" w:hanging="360"/>
      </w:pPr>
    </w:lvl>
    <w:lvl w:ilvl="5" w:tplc="BE42841A">
      <w:start w:val="1"/>
      <w:numFmt w:val="lowerRoman"/>
      <w:lvlText w:val="%6."/>
      <w:lvlJc w:val="right"/>
      <w:pPr>
        <w:ind w:left="4320" w:hanging="180"/>
      </w:pPr>
    </w:lvl>
    <w:lvl w:ilvl="6" w:tplc="48BA7030">
      <w:start w:val="1"/>
      <w:numFmt w:val="decimal"/>
      <w:lvlText w:val="%7."/>
      <w:lvlJc w:val="left"/>
      <w:pPr>
        <w:ind w:left="5040" w:hanging="360"/>
      </w:pPr>
    </w:lvl>
    <w:lvl w:ilvl="7" w:tplc="5446813E">
      <w:start w:val="1"/>
      <w:numFmt w:val="lowerLetter"/>
      <w:lvlText w:val="%8."/>
      <w:lvlJc w:val="left"/>
      <w:pPr>
        <w:ind w:left="5760" w:hanging="360"/>
      </w:pPr>
    </w:lvl>
    <w:lvl w:ilvl="8" w:tplc="92B6F1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47289"/>
    <w:multiLevelType w:val="multilevel"/>
    <w:tmpl w:val="6C382F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6C7750"/>
    <w:multiLevelType w:val="hybridMultilevel"/>
    <w:tmpl w:val="37005DC0"/>
    <w:lvl w:ilvl="0" w:tplc="29B8C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AF01E">
      <w:start w:val="1"/>
      <w:numFmt w:val="lowerLetter"/>
      <w:lvlText w:val="%2."/>
      <w:lvlJc w:val="left"/>
      <w:pPr>
        <w:ind w:left="1440" w:hanging="360"/>
      </w:pPr>
    </w:lvl>
    <w:lvl w:ilvl="2" w:tplc="33EC6C0E">
      <w:start w:val="1"/>
      <w:numFmt w:val="lowerRoman"/>
      <w:lvlText w:val="%3."/>
      <w:lvlJc w:val="right"/>
      <w:pPr>
        <w:ind w:left="2160" w:hanging="180"/>
      </w:pPr>
    </w:lvl>
    <w:lvl w:ilvl="3" w:tplc="D0BC6D38">
      <w:start w:val="1"/>
      <w:numFmt w:val="decimal"/>
      <w:lvlText w:val="%4."/>
      <w:lvlJc w:val="left"/>
      <w:pPr>
        <w:ind w:left="2880" w:hanging="360"/>
      </w:pPr>
    </w:lvl>
    <w:lvl w:ilvl="4" w:tplc="666E00C6">
      <w:start w:val="1"/>
      <w:numFmt w:val="lowerLetter"/>
      <w:lvlText w:val="%5."/>
      <w:lvlJc w:val="left"/>
      <w:pPr>
        <w:ind w:left="3600" w:hanging="360"/>
      </w:pPr>
    </w:lvl>
    <w:lvl w:ilvl="5" w:tplc="16B6A13A">
      <w:start w:val="1"/>
      <w:numFmt w:val="lowerRoman"/>
      <w:lvlText w:val="%6."/>
      <w:lvlJc w:val="right"/>
      <w:pPr>
        <w:ind w:left="4320" w:hanging="180"/>
      </w:pPr>
    </w:lvl>
    <w:lvl w:ilvl="6" w:tplc="D53C0682">
      <w:start w:val="1"/>
      <w:numFmt w:val="decimal"/>
      <w:lvlText w:val="%7."/>
      <w:lvlJc w:val="left"/>
      <w:pPr>
        <w:ind w:left="5040" w:hanging="360"/>
      </w:pPr>
    </w:lvl>
    <w:lvl w:ilvl="7" w:tplc="299E1694">
      <w:start w:val="1"/>
      <w:numFmt w:val="lowerLetter"/>
      <w:lvlText w:val="%8."/>
      <w:lvlJc w:val="left"/>
      <w:pPr>
        <w:ind w:left="5760" w:hanging="360"/>
      </w:pPr>
    </w:lvl>
    <w:lvl w:ilvl="8" w:tplc="879AC8A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A2EBD"/>
    <w:multiLevelType w:val="hybridMultilevel"/>
    <w:tmpl w:val="AC104E40"/>
    <w:lvl w:ilvl="0" w:tplc="82C43C2A">
      <w:start w:val="1"/>
      <w:numFmt w:val="bullet"/>
      <w:lvlText w:val=""/>
      <w:lvlJc w:val="left"/>
      <w:pPr>
        <w:ind w:left="0" w:firstLine="0"/>
      </w:pPr>
      <w:rPr>
        <w:rFonts w:ascii="Symbol" w:hAnsi="Symbol" w:cs="Symbol" w:hint="default"/>
      </w:rPr>
    </w:lvl>
    <w:lvl w:ilvl="1" w:tplc="70829EF4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2" w:tplc="A7608D16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  <w:lvl w:ilvl="3" w:tplc="261690AC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4" w:tplc="885CD60E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5" w:tplc="79727D90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  <w:lvl w:ilvl="6" w:tplc="6CCC48D6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7" w:tplc="AA064A8A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8" w:tplc="F19A4BAA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</w:abstractNum>
  <w:abstractNum w:abstractNumId="20" w15:restartNumberingAfterBreak="0">
    <w:nsid w:val="4EC80875"/>
    <w:multiLevelType w:val="hybridMultilevel"/>
    <w:tmpl w:val="6710690A"/>
    <w:lvl w:ilvl="0" w:tplc="10025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734A4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EA4F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0A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E9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3C6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96C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FC50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0ADC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311D2"/>
    <w:multiLevelType w:val="multilevel"/>
    <w:tmpl w:val="C20A9D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54A866A3"/>
    <w:multiLevelType w:val="multilevel"/>
    <w:tmpl w:val="94E21346"/>
    <w:lvl w:ilvl="0">
      <w:start w:val="1"/>
      <w:numFmt w:val="decimal"/>
      <w:lvlText w:val="5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5.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3" w15:restartNumberingAfterBreak="0">
    <w:nsid w:val="56233C2E"/>
    <w:multiLevelType w:val="hybridMultilevel"/>
    <w:tmpl w:val="DF345264"/>
    <w:lvl w:ilvl="0" w:tplc="59CE9BC4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4F6406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B3A0C9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686149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D2A7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E265E4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29CA09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3847D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626D4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815522"/>
    <w:multiLevelType w:val="hybridMultilevel"/>
    <w:tmpl w:val="846C8D36"/>
    <w:lvl w:ilvl="0" w:tplc="E2AEB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A89ECE">
      <w:start w:val="1"/>
      <w:numFmt w:val="lowerLetter"/>
      <w:lvlText w:val="%2."/>
      <w:lvlJc w:val="left"/>
      <w:pPr>
        <w:ind w:left="1440" w:hanging="360"/>
      </w:pPr>
    </w:lvl>
    <w:lvl w:ilvl="2" w:tplc="F3DE45CA">
      <w:start w:val="1"/>
      <w:numFmt w:val="lowerRoman"/>
      <w:lvlText w:val="%3."/>
      <w:lvlJc w:val="right"/>
      <w:pPr>
        <w:ind w:left="2160" w:hanging="180"/>
      </w:pPr>
    </w:lvl>
    <w:lvl w:ilvl="3" w:tplc="C30676C6">
      <w:start w:val="1"/>
      <w:numFmt w:val="decimal"/>
      <w:lvlText w:val="%4."/>
      <w:lvlJc w:val="left"/>
      <w:pPr>
        <w:ind w:left="2880" w:hanging="360"/>
      </w:pPr>
    </w:lvl>
    <w:lvl w:ilvl="4" w:tplc="0B540A48">
      <w:start w:val="1"/>
      <w:numFmt w:val="lowerLetter"/>
      <w:lvlText w:val="%5."/>
      <w:lvlJc w:val="left"/>
      <w:pPr>
        <w:ind w:left="3600" w:hanging="360"/>
      </w:pPr>
    </w:lvl>
    <w:lvl w:ilvl="5" w:tplc="BA1066FA">
      <w:start w:val="1"/>
      <w:numFmt w:val="lowerRoman"/>
      <w:lvlText w:val="%6."/>
      <w:lvlJc w:val="right"/>
      <w:pPr>
        <w:ind w:left="4320" w:hanging="180"/>
      </w:pPr>
    </w:lvl>
    <w:lvl w:ilvl="6" w:tplc="18A00B86">
      <w:start w:val="1"/>
      <w:numFmt w:val="decimal"/>
      <w:lvlText w:val="%7."/>
      <w:lvlJc w:val="left"/>
      <w:pPr>
        <w:ind w:left="5040" w:hanging="360"/>
      </w:pPr>
    </w:lvl>
    <w:lvl w:ilvl="7" w:tplc="9508E9C2">
      <w:start w:val="1"/>
      <w:numFmt w:val="lowerLetter"/>
      <w:lvlText w:val="%8."/>
      <w:lvlJc w:val="left"/>
      <w:pPr>
        <w:ind w:left="5760" w:hanging="360"/>
      </w:pPr>
    </w:lvl>
    <w:lvl w:ilvl="8" w:tplc="477CDC7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71FC6"/>
    <w:multiLevelType w:val="hybridMultilevel"/>
    <w:tmpl w:val="4476FA08"/>
    <w:lvl w:ilvl="0" w:tplc="B3DC9EC4">
      <w:start w:val="2"/>
      <w:numFmt w:val="decimal"/>
      <w:pStyle w:val="1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300CC5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86BB9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53288E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A066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D87A1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7C05D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B4EB3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689CE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9E4834"/>
    <w:multiLevelType w:val="hybridMultilevel"/>
    <w:tmpl w:val="5ACA4D3A"/>
    <w:lvl w:ilvl="0" w:tplc="0B18EE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C7C374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3F2172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92AA3A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508D4A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15ACF0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F362F7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580154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DB2B9A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36A2B6A"/>
    <w:multiLevelType w:val="multilevel"/>
    <w:tmpl w:val="C2E8ED82"/>
    <w:lvl w:ilvl="0">
      <w:start w:val="1"/>
      <w:numFmt w:val="decimal"/>
      <w:isLgl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117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76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1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21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169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87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2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933" w:hanging="1800"/>
      </w:pPr>
    </w:lvl>
  </w:abstractNum>
  <w:abstractNum w:abstractNumId="28" w15:restartNumberingAfterBreak="0">
    <w:nsid w:val="66A50D17"/>
    <w:multiLevelType w:val="multilevel"/>
    <w:tmpl w:val="25F218B2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17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76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1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21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169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87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2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933" w:hanging="1800"/>
      </w:pPr>
    </w:lvl>
  </w:abstractNum>
  <w:abstractNum w:abstractNumId="29" w15:restartNumberingAfterBreak="0">
    <w:nsid w:val="687A7001"/>
    <w:multiLevelType w:val="multilevel"/>
    <w:tmpl w:val="DB144C42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68845CE2"/>
    <w:multiLevelType w:val="multilevel"/>
    <w:tmpl w:val="18D880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AB1456B"/>
    <w:multiLevelType w:val="hybridMultilevel"/>
    <w:tmpl w:val="C8CE2250"/>
    <w:lvl w:ilvl="0" w:tplc="C57EE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A0E1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6406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01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61D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B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5A8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65B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60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80E83"/>
    <w:multiLevelType w:val="hybridMultilevel"/>
    <w:tmpl w:val="F1609820"/>
    <w:lvl w:ilvl="0" w:tplc="7AFA5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062D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261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84FE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A4D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1400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58C0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40E0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3A3D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C335B"/>
    <w:multiLevelType w:val="multilevel"/>
    <w:tmpl w:val="A29002BE"/>
    <w:lvl w:ilvl="0">
      <w:start w:val="1"/>
      <w:numFmt w:val="decimal"/>
      <w:lvlText w:val="%1."/>
      <w:lvlJc w:val="left"/>
      <w:pPr>
        <w:ind w:left="435" w:hanging="435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4" w15:restartNumberingAfterBreak="0">
    <w:nsid w:val="79446CBA"/>
    <w:multiLevelType w:val="multilevel"/>
    <w:tmpl w:val="835E54CA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Restart w:val="1"/>
      <w:suff w:val="space"/>
      <w:lvlText w:val="%1.%4."/>
      <w:lvlJc w:val="left"/>
      <w:pPr>
        <w:ind w:left="-141" w:firstLine="709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suff w:val="space"/>
      <w:lvlText w:val="%1.%2.%3.%6."/>
      <w:lvlJc w:val="left"/>
      <w:pPr>
        <w:ind w:left="993" w:firstLine="709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russianLower"/>
      <w:lvlRestart w:val="6"/>
      <w:lvlText w:val="%9."/>
      <w:lvlJc w:val="left"/>
      <w:pPr>
        <w:ind w:left="1418" w:hanging="284"/>
      </w:pPr>
    </w:lvl>
  </w:abstractNum>
  <w:abstractNum w:abstractNumId="35" w15:restartNumberingAfterBreak="0">
    <w:nsid w:val="7ADD4FE7"/>
    <w:multiLevelType w:val="hybridMultilevel"/>
    <w:tmpl w:val="1FFEB720"/>
    <w:lvl w:ilvl="0" w:tplc="DAFED390">
      <w:start w:val="1"/>
      <w:numFmt w:val="decimal"/>
      <w:lvlText w:val="%1."/>
      <w:lvlJc w:val="left"/>
      <w:pPr>
        <w:ind w:left="720" w:hanging="360"/>
      </w:pPr>
    </w:lvl>
    <w:lvl w:ilvl="1" w:tplc="BA722C5A">
      <w:start w:val="1"/>
      <w:numFmt w:val="lowerLetter"/>
      <w:lvlText w:val="%2."/>
      <w:lvlJc w:val="left"/>
      <w:pPr>
        <w:ind w:left="1440" w:hanging="360"/>
      </w:pPr>
    </w:lvl>
    <w:lvl w:ilvl="2" w:tplc="C0D6463C">
      <w:start w:val="1"/>
      <w:numFmt w:val="lowerRoman"/>
      <w:lvlText w:val="%3."/>
      <w:lvlJc w:val="right"/>
      <w:pPr>
        <w:ind w:left="2160" w:hanging="180"/>
      </w:pPr>
    </w:lvl>
    <w:lvl w:ilvl="3" w:tplc="D2B28080">
      <w:start w:val="1"/>
      <w:numFmt w:val="decimal"/>
      <w:lvlText w:val="%4."/>
      <w:lvlJc w:val="left"/>
      <w:pPr>
        <w:ind w:left="2880" w:hanging="360"/>
      </w:pPr>
    </w:lvl>
    <w:lvl w:ilvl="4" w:tplc="176CDD3C">
      <w:start w:val="1"/>
      <w:numFmt w:val="lowerLetter"/>
      <w:lvlText w:val="%5."/>
      <w:lvlJc w:val="left"/>
      <w:pPr>
        <w:ind w:left="3600" w:hanging="360"/>
      </w:pPr>
    </w:lvl>
    <w:lvl w:ilvl="5" w:tplc="F8A68E18">
      <w:start w:val="1"/>
      <w:numFmt w:val="lowerRoman"/>
      <w:lvlText w:val="%6."/>
      <w:lvlJc w:val="right"/>
      <w:pPr>
        <w:ind w:left="4320" w:hanging="180"/>
      </w:pPr>
    </w:lvl>
    <w:lvl w:ilvl="6" w:tplc="9A1EEDD8">
      <w:start w:val="1"/>
      <w:numFmt w:val="decimal"/>
      <w:lvlText w:val="%7."/>
      <w:lvlJc w:val="left"/>
      <w:pPr>
        <w:ind w:left="5040" w:hanging="360"/>
      </w:pPr>
    </w:lvl>
    <w:lvl w:ilvl="7" w:tplc="0FB28BD8">
      <w:start w:val="1"/>
      <w:numFmt w:val="lowerLetter"/>
      <w:lvlText w:val="%8."/>
      <w:lvlJc w:val="left"/>
      <w:pPr>
        <w:ind w:left="5760" w:hanging="360"/>
      </w:pPr>
    </w:lvl>
    <w:lvl w:ilvl="8" w:tplc="4516B27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3"/>
  </w:num>
  <w:num w:numId="10">
    <w:abstractNumId w:val="8"/>
  </w:num>
  <w:num w:numId="11">
    <w:abstractNumId w:val="22"/>
  </w:num>
  <w:num w:numId="12">
    <w:abstractNumId w:val="19"/>
  </w:num>
  <w:num w:numId="13">
    <w:abstractNumId w:val="31"/>
  </w:num>
  <w:num w:numId="14">
    <w:abstractNumId w:val="10"/>
  </w:num>
  <w:num w:numId="15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5"/>
  </w:num>
  <w:num w:numId="18">
    <w:abstractNumId w:val="25"/>
  </w:num>
  <w:num w:numId="19">
    <w:abstractNumId w:val="32"/>
  </w:num>
  <w:num w:numId="20">
    <w:abstractNumId w:val="20"/>
  </w:num>
  <w:num w:numId="21">
    <w:abstractNumId w:val="2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0"/>
  </w:num>
  <w:num w:numId="26">
    <w:abstractNumId w:val="23"/>
  </w:num>
  <w:num w:numId="27">
    <w:abstractNumId w:val="26"/>
  </w:num>
  <w:num w:numId="28">
    <w:abstractNumId w:val="4"/>
  </w:num>
  <w:num w:numId="29">
    <w:abstractNumId w:val="1"/>
  </w:num>
  <w:num w:numId="30">
    <w:abstractNumId w:val="16"/>
  </w:num>
  <w:num w:numId="31">
    <w:abstractNumId w:val="18"/>
  </w:num>
  <w:num w:numId="32">
    <w:abstractNumId w:val="24"/>
  </w:num>
  <w:num w:numId="33">
    <w:abstractNumId w:val="33"/>
  </w:num>
  <w:num w:numId="34">
    <w:abstractNumId w:val="21"/>
  </w:num>
  <w:num w:numId="35">
    <w:abstractNumId w:val="5"/>
  </w:num>
  <w:num w:numId="36">
    <w:abstractNumId w:val="28"/>
  </w:num>
  <w:num w:numId="37">
    <w:abstractNumId w:val="2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050"/>
    <w:rsid w:val="003A4F6C"/>
    <w:rsid w:val="0058340C"/>
    <w:rsid w:val="00985050"/>
    <w:rsid w:val="00A241E4"/>
    <w:rsid w:val="00D8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A86F"/>
  <w15:docId w15:val="{4FF69632-0A29-4AFC-92E5-DB8D544A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0"/>
    <w:next w:val="a0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1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1"/>
    <w:uiPriority w:val="35"/>
    <w:rPr>
      <w:b/>
      <w:bCs/>
      <w:color w:val="4472C4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1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link w:val="ac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0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3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paragraph" w:styleId="af5">
    <w:name w:val="List Paragraph"/>
    <w:basedOn w:val="a0"/>
    <w:link w:val="af6"/>
    <w:uiPriority w:val="34"/>
    <w:qFormat/>
    <w:pPr>
      <w:ind w:left="720" w:firstLine="709"/>
      <w:jc w:val="both"/>
    </w:pPr>
    <w:rPr>
      <w:rFonts w:ascii="Calibri" w:eastAsia="Calibri" w:hAnsi="Calibri" w:cs="Calibri"/>
      <w:sz w:val="20"/>
      <w:szCs w:val="20"/>
    </w:rPr>
  </w:style>
  <w:style w:type="table" w:styleId="af7">
    <w:name w:val="Table Grid"/>
    <w:basedOn w:val="a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1">
    <w:name w:val="List Paragraph1"/>
    <w:basedOn w:val="a0"/>
    <w:pPr>
      <w:ind w:left="720"/>
      <w:jc w:val="both"/>
    </w:pPr>
    <w:rPr>
      <w:rFonts w:eastAsia="Calibri"/>
      <w:sz w:val="20"/>
      <w:szCs w:val="20"/>
      <w:lang w:eastAsia="hi-IN" w:bidi="hi-IN"/>
    </w:rPr>
  </w:style>
  <w:style w:type="paragraph" w:customStyle="1" w:styleId="ListParagraph2">
    <w:name w:val="List Paragraph2"/>
    <w:basedOn w:val="a0"/>
    <w:pPr>
      <w:spacing w:line="100" w:lineRule="atLeast"/>
      <w:ind w:left="720"/>
    </w:pPr>
    <w:rPr>
      <w:lang w:val="en-US" w:eastAsia="ar-SA"/>
    </w:rPr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Calibri"/>
      <w:sz w:val="20"/>
      <w:szCs w:val="20"/>
      <w:lang w:eastAsia="zh-CN"/>
    </w:rPr>
  </w:style>
  <w:style w:type="paragraph" w:styleId="af8">
    <w:name w:val="header"/>
    <w:basedOn w:val="a0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foot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c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ff1">
    <w:name w:val="Balloon Text"/>
    <w:basedOn w:val="a0"/>
    <w:link w:val="af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14">
    <w:name w:val="1. Пункт Знак"/>
    <w:link w:val="1"/>
    <w:rPr>
      <w:rFonts w:ascii="Arial" w:eastAsia="Times New Roman" w:hAnsi="Arial" w:cs="Times New Roman"/>
      <w:sz w:val="24"/>
    </w:rPr>
  </w:style>
  <w:style w:type="paragraph" w:customStyle="1" w:styleId="1">
    <w:name w:val="1. Пункт"/>
    <w:basedOn w:val="aff3"/>
    <w:link w:val="14"/>
    <w:qFormat/>
    <w:pPr>
      <w:numPr>
        <w:numId w:val="15"/>
      </w:numPr>
      <w:spacing w:before="240" w:after="120"/>
      <w:jc w:val="center"/>
    </w:pPr>
    <w:rPr>
      <w:rFonts w:ascii="Arial" w:hAnsi="Arial"/>
      <w:sz w:val="24"/>
      <w:szCs w:val="22"/>
      <w:lang w:eastAsia="en-US"/>
    </w:rPr>
  </w:style>
  <w:style w:type="paragraph" w:styleId="aff3">
    <w:name w:val="Plain Text"/>
    <w:basedOn w:val="a0"/>
    <w:link w:val="aff4"/>
    <w:uiPriority w:val="99"/>
    <w:semiHidden/>
    <w:unhideWhenUsed/>
    <w:rPr>
      <w:rFonts w:ascii="Consolas" w:hAnsi="Consolas"/>
      <w:sz w:val="21"/>
      <w:szCs w:val="21"/>
    </w:rPr>
  </w:style>
  <w:style w:type="character" w:customStyle="1" w:styleId="aff4">
    <w:name w:val="Текст Знак"/>
    <w:basedOn w:val="a1"/>
    <w:link w:val="aff3"/>
    <w:uiPriority w:val="99"/>
    <w:semiHidden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">
    <w:name w:val="_Маском (Таблица НУМЕРАЦИЯ СТРОК)"/>
    <w:basedOn w:val="a0"/>
    <w:uiPriority w:val="99"/>
    <w:pPr>
      <w:numPr>
        <w:numId w:val="22"/>
      </w:numPr>
      <w:jc w:val="center"/>
    </w:pPr>
    <w:rPr>
      <w:sz w:val="22"/>
      <w:szCs w:val="22"/>
      <w:lang w:eastAsia="en-US"/>
    </w:rPr>
  </w:style>
  <w:style w:type="paragraph" w:styleId="aff5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lang w:eastAsia="ru-RU"/>
    </w:rPr>
  </w:style>
  <w:style w:type="character" w:customStyle="1" w:styleId="54">
    <w:name w:val="Список_5 Знак"/>
    <w:basedOn w:val="a1"/>
    <w:link w:val="5"/>
    <w:rPr>
      <w:rFonts w:ascii="Times New Roman" w:hAnsi="Times New Roman" w:cs="Times New Roman"/>
      <w:color w:val="000000" w:themeColor="text1"/>
      <w:lang w:val="en-US"/>
    </w:rPr>
  </w:style>
  <w:style w:type="paragraph" w:customStyle="1" w:styleId="5">
    <w:name w:val="Список_5"/>
    <w:basedOn w:val="af5"/>
    <w:link w:val="54"/>
    <w:qFormat/>
    <w:pPr>
      <w:numPr>
        <w:numId w:val="25"/>
      </w:numPr>
      <w:ind w:left="395" w:hanging="283"/>
    </w:pPr>
    <w:rPr>
      <w:rFonts w:ascii="Times New Roman" w:eastAsiaTheme="minorHAnsi" w:hAnsi="Times New Roman" w:cs="Times New Roman"/>
      <w:color w:val="000000" w:themeColor="text1"/>
      <w:sz w:val="22"/>
      <w:szCs w:val="22"/>
      <w:lang w:val="en-US" w:eastAsia="en-US"/>
    </w:rPr>
  </w:style>
  <w:style w:type="paragraph" w:customStyle="1" w:styleId="aff6">
    <w:name w:val="Содержимое таблицы"/>
    <w:basedOn w:val="a0"/>
    <w:qFormat/>
    <w:pPr>
      <w:widowControl w:val="0"/>
      <w:suppressLineNumbers/>
    </w:pPr>
    <w:rPr>
      <w:rFonts w:ascii="Tempora LGC Uni" w:eastAsia="Tahoma" w:hAnsi="Tempora LGC Uni" w:cs="Lohit Devanagari"/>
      <w:lang w:bidi="hi-IN"/>
    </w:rPr>
  </w:style>
  <w:style w:type="character" w:customStyle="1" w:styleId="ConsPlusNormal">
    <w:name w:val="ConsPlusNormal Знак"/>
    <w:link w:val="ConsPlusNormal0"/>
    <w:uiPriority w:val="9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ff7">
    <w:name w:val="Hyperlink"/>
    <w:basedOn w:val="a1"/>
    <w:uiPriority w:val="99"/>
    <w:semiHidden/>
    <w:unhideWhenUsed/>
    <w:rPr>
      <w:color w:val="0000FF"/>
      <w:u w:val="single"/>
    </w:rPr>
  </w:style>
  <w:style w:type="paragraph" w:customStyle="1" w:styleId="15">
    <w:name w:val="Без интервал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Normal">
    <w:name w:val="Con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ktru/ktruCard/ktru-description.html?itemId=26.30.11.110-00000041&amp;backUrl=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2E98C-6A69-4FDA-A972-8B9DF9DDA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1466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Субботина Екатерина Юрьевна</cp:lastModifiedBy>
  <cp:revision>10</cp:revision>
  <dcterms:created xsi:type="dcterms:W3CDTF">2025-02-13T05:41:00Z</dcterms:created>
  <dcterms:modified xsi:type="dcterms:W3CDTF">2026-08-20T06:29:00Z</dcterms:modified>
</cp:coreProperties>
</file>